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line="247" w:lineRule="auto"/>
        <w:jc w:val="center"/>
      </w:pPr>
      <w:r>
        <w:rPr>
          <w:b/>
          <w:color w:val="0C3756"/>
          <w:sz w:val="36"/>
        </w:rPr>
        <w:t>SHELBY R. KING</w:t>
      </w:r>
    </w:p>
    <w:p>
      <w:pPr>
        <w:spacing w:after="20" w:line="247" w:lineRule="auto"/>
        <w:jc w:val="center"/>
      </w:pPr>
      <w:r>
        <w:rPr>
          <w:b/>
        </w:rPr>
        <w:t>Content Strategy &amp; Editorial Leader | Editorial Operations | Thought Leadership | Customer Proof | Search &amp; Sales Enablement</w:t>
      </w:r>
    </w:p>
    <w:p>
      <w:pPr>
        <w:spacing w:after="80" w:line="247" w:lineRule="auto"/>
        <w:jc w:val="center"/>
        <w:pBdr>
          <w:bottom w:val="single" w:sz="6" w:space="1" w:color="B9A67D"/>
        </w:pBdr>
      </w:pPr>
      <w:r>
        <w:t>Denver, CO | shelbyrking@gmail.com | 541-514-4223 | shelbyrking.com | linkedin.com/in/shelbyreneeking | shelterforce.org/author/shelby-king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PROFESSIONAL SUMMARY</w:t>
      </w:r>
    </w:p>
    <w:p>
      <w:pPr>
        <w:spacing w:after="80" w:line="247" w:lineRule="auto"/>
      </w:pPr>
      <w:r>
        <w:t>Content strategist, editorial operator, and investigative journalist with 16+ years making complex financial, technical, policy, and operational subjects clear enough to use. Sole content lead for CSG Forte's Payments business, where I built editorial systems, SEO/AEO/GEO strategy, customer proof, sales enablement, and thought leadership from the ground up. National Shelterforce reporter with deep experience interviewing executives, researchers, policymakers, lenders, developers, and subject-matter experts. Strongest where credibility, structure, and clear judgment matter.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CORE SKILLS</w:t>
      </w:r>
    </w:p>
    <w:p>
      <w:pPr>
        <w:spacing w:after="30" w:line="247" w:lineRule="auto"/>
      </w:pPr>
      <w:r>
        <w:rPr>
          <w:b/>
          <w:color w:val="0C3756"/>
        </w:rPr>
        <w:t xml:space="preserve">Content &amp; Editorial Leadership: </w:t>
      </w:r>
      <w:r>
        <w:t>Content strategy; editorial strategy; editorial systems design; thought leadership; executive communications; developmental editing; content portfolio management; editorial calendars; governance; contributor direction</w:t>
      </w:r>
    </w:p>
    <w:p>
      <w:pPr>
        <w:spacing w:after="30" w:line="247" w:lineRule="auto"/>
      </w:pPr>
      <w:r>
        <w:rPr>
          <w:b/>
          <w:color w:val="0C3756"/>
        </w:rPr>
        <w:t xml:space="preserve">Growth, Search &amp; Operations: </w:t>
      </w:r>
      <w:r>
        <w:t>SEO strategy; AEO/GEO strategy; content operations; information architecture; website strategy; content quality systems; measurement; knowledge management; workflow optimization; reuse and repurposing</w:t>
      </w:r>
    </w:p>
    <w:p>
      <w:pPr>
        <w:spacing w:after="30" w:line="247" w:lineRule="auto"/>
      </w:pPr>
      <w:r>
        <w:rPr>
          <w:b/>
          <w:color w:val="0C3756"/>
        </w:rPr>
        <w:t xml:space="preserve">Business, Product &amp; Proof: </w:t>
      </w:r>
      <w:r>
        <w:t>Go-to-market content; product and solution messaging; product launches; demand-generation support; messaging frameworks; customer stories; customer proof; case studies; sales enablement; proposal content; voice of customer</w:t>
      </w:r>
    </w:p>
    <w:p>
      <w:pPr>
        <w:spacing w:after="30" w:line="247" w:lineRule="auto"/>
      </w:pPr>
      <w:r>
        <w:rPr>
          <w:b/>
          <w:color w:val="0C3756"/>
        </w:rPr>
        <w:t xml:space="preserve">Research &amp; Communication: </w:t>
      </w:r>
      <w:r>
        <w:t>Investigative journalism; strategic research; qualitative research; expert interviews; SME collaboration; complex subject-matter translation; stakeholder management; cross-functional leadership; webinar moderation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SELECTED IMPACT</w:t>
      </w:r>
    </w:p>
    <w:p>
      <w:pPr>
        <w:pStyle w:val="ListBullet"/>
        <w:spacing w:line="247" w:lineRule="auto"/>
      </w:pPr>
      <w:r>
        <w:t>Built and led editorial systems for CSG Forte's Payments business as sole content lead, producing or supporting 150+ published Insights articles since Feb. 2025.</w:t>
      </w:r>
    </w:p>
    <w:p>
      <w:pPr>
        <w:pStyle w:val="ListBullet"/>
        <w:spacing w:line="247" w:lineRule="auto"/>
      </w:pPr>
      <w:r>
        <w:t>Operationalized a 202-article commercial content library with a business-weighted SEO framework, 30-opportunity optimization roadmap, KPI baseline, and 12-week execution plan.</w:t>
      </w:r>
    </w:p>
    <w:p>
      <w:pPr>
        <w:pStyle w:val="ListBullet"/>
        <w:spacing w:line="247" w:lineRule="auto"/>
      </w:pPr>
      <w:r>
        <w:t>Led content strategy and messaging for a public website redesign spanning solution architecture, migration, Contentful publishing, and QA.</w:t>
      </w:r>
    </w:p>
    <w:p>
      <w:pPr>
        <w:pStyle w:val="ListBullet"/>
        <w:spacing w:line="247" w:lineRule="auto"/>
      </w:pPr>
      <w:r>
        <w:t>Expanded CSG Forte's named customer-proof portfolio from 6 to 11 published customer stories, creating reusable assets for marketing, sales, proposals, and executive communications.</w:t>
      </w:r>
    </w:p>
    <w:p>
      <w:pPr>
        <w:pStyle w:val="ListBullet"/>
        <w:spacing w:line="247" w:lineRule="auto"/>
      </w:pPr>
      <w:r>
        <w:t>Built research, briefing, optimization, reuse, and QA workflows that improved speed and consistency while keeping source checks and editorial review intact.</w:t>
      </w:r>
    </w:p>
    <w:p>
      <w:pPr>
        <w:pStyle w:val="ListBullet"/>
        <w:spacing w:line="247" w:lineRule="auto"/>
      </w:pPr>
      <w:r>
        <w:t>Built Shelterforce's affordable housing business-model investigation into a national reporting platform contributing to a newsroom reaching 25,158 audience members, 40,196+ interactions, 400K+ social impressions, 14,540 email subscribers, and a 48% open rate.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PROFESSIONAL EXPERIENCE</w:t>
      </w:r>
    </w:p>
    <w:p>
      <w:pPr>
        <w:pStyle w:val="Heading3"/>
        <w:spacing w:line="247" w:lineRule="auto"/>
      </w:pPr>
      <w:r>
        <w:rPr>
          <w:b/>
          <w:color w:val="0C3756"/>
          <w:sz w:val="18"/>
        </w:rPr>
        <w:t>CSG Forte - Editorial Specialist | Functional Lead, Payments Content Strategy &amp; Operations</w:t>
      </w:r>
      <w:r>
        <w:rPr>
          <w:b/>
          <w:color w:val="646056"/>
          <w:sz w:val="16"/>
        </w:rPr>
        <w:t xml:space="preserve">   Jul 2023-Present</w:t>
      </w:r>
    </w:p>
    <w:p>
      <w:pPr>
        <w:spacing w:after="40" w:line="247" w:lineRule="auto"/>
      </w:pPr>
      <w:r>
        <w:t>Sole content lead for CSG Forte's Payments business. Built the editorial systems, search frameworks, customer proof, thought leadership, and sales-support content that turned scattered requests into a repeatable content function across Product Marketing, Demand Generation, Customer Success, Sales, Design, SMEs, and leadership.</w:t>
      </w:r>
    </w:p>
    <w:p>
      <w:pPr>
        <w:pStyle w:val="ListBullet"/>
        <w:spacing w:line="247" w:lineRule="auto"/>
      </w:pPr>
      <w:r>
        <w:t>Built the operating model behind a high-volume content function: governance, intake, calendars, briefs, review paths, contributor workflows, publishing QA, measurement, optimization, and reuse.</w:t>
      </w:r>
    </w:p>
    <w:p>
      <w:pPr>
        <w:pStyle w:val="ListBullet"/>
        <w:spacing w:line="247" w:lineRule="auto"/>
      </w:pPr>
      <w:r>
        <w:t>Produced or supported 150+ Insights articles and operationalized a 202-article library across Government, Healthcare, Insurance, Utilities, Financial Services, ISVs, Embedded Payments, Bill Pay, Gateway Orchestration, and Payment Facilitation.</w:t>
      </w:r>
    </w:p>
    <w:p>
      <w:pPr>
        <w:pStyle w:val="ListBullet"/>
        <w:spacing w:line="247" w:lineRule="auto"/>
      </w:pPr>
      <w:r>
        <w:t>Led solution messaging, information architecture, migration, and publishing support for a public website relaunch completed through coordinated migration and publishing support.</w:t>
      </w:r>
    </w:p>
    <w:p>
      <w:pPr>
        <w:pStyle w:val="ListBullet"/>
        <w:spacing w:line="247" w:lineRule="auto"/>
      </w:pPr>
      <w:r>
        <w:t>Grew the named customer-story portfolio from 6 to 11, translating customer outcomes into proof for marketing, sales enablement, proposals, buyer education, and executive communications.</w:t>
      </w:r>
    </w:p>
    <w:p>
      <w:pPr>
        <w:pStyle w:val="ListBullet"/>
        <w:spacing w:line="247" w:lineRule="auto"/>
      </w:pPr>
      <w:r>
        <w:t>Built research, interview prep, briefing, optimization, reuse, and quality-control workflows that use AI tools where they help and keep source checks and editorial review intact.</w:t>
      </w:r>
    </w:p>
    <w:p>
      <w:pPr>
        <w:pStyle w:val="ListBullet"/>
        <w:spacing w:line="247" w:lineRule="auto"/>
      </w:pPr>
      <w:r>
        <w:t>Partnered on go-to-market strategy, product launches, demand-generation support, competitive positioning, executive thought leadership, messaging frameworks, and a flagship stock bid proposal system for government payments buyers.</w:t>
      </w:r>
    </w:p>
    <w:p>
      <w:pPr>
        <w:pStyle w:val="ListBullet"/>
        <w:spacing w:line="247" w:lineRule="auto"/>
      </w:pPr>
      <w:r>
        <w:t>Directed up to five external writers and ebook contributors at once and managed a WebFX agency engagement without relying on formal reporting authority.</w:t>
      </w:r>
    </w:p>
    <w:p>
      <w:pPr>
        <w:pStyle w:val="Heading3"/>
        <w:spacing w:line="247" w:lineRule="auto"/>
      </w:pPr>
      <w:r>
        <w:rPr>
          <w:b/>
          <w:color w:val="0C3756"/>
          <w:sz w:val="18"/>
        </w:rPr>
        <w:t>Shelterforce - Investigative Journalist, Housing Finance &amp; Policy</w:t>
      </w:r>
      <w:r>
        <w:rPr>
          <w:b/>
          <w:color w:val="646056"/>
          <w:sz w:val="16"/>
        </w:rPr>
        <w:t xml:space="preserve">   2021-Present</w:t>
      </w:r>
    </w:p>
    <w:p>
      <w:pPr>
        <w:spacing w:after="40" w:line="247" w:lineRule="auto"/>
      </w:pPr>
      <w:r>
        <w:t>National reporter examining the financial, operational, and policy systems shaping affordable housing for practitioners, policymakers, funders, lenders, developers, advocates, and community leaders.</w:t>
      </w:r>
    </w:p>
    <w:p>
      <w:pPr>
        <w:pStyle w:val="ListBullet"/>
        <w:spacing w:line="247" w:lineRule="auto"/>
      </w:pPr>
      <w:r>
        <w:t>Built a sustained affordable-housing business-model investigation examining preservation, capital, operating stress, lending, public subsidy, institutional incentives, and resident impacts.</w:t>
      </w:r>
    </w:p>
    <w:p>
      <w:pPr>
        <w:pStyle w:val="ListBullet"/>
        <w:spacing w:line="247" w:lineRule="auto"/>
      </w:pPr>
      <w:r>
        <w:t>Interview and synthesize CEOs, economists, researchers, developers, lenders, public officials, residents, and advocates; translate contested evidence without sanding off uncertainty.</w:t>
      </w:r>
    </w:p>
    <w:p>
      <w:pPr>
        <w:pStyle w:val="ListBullet"/>
        <w:spacing w:line="247" w:lineRule="auto"/>
      </w:pPr>
      <w:r>
        <w:t>Reporting was highlighted in Shelterforce's impact work and influenced stakeholder responses, including attention to manufactured-housing finance and future tenant protections.</w:t>
      </w:r>
    </w:p>
    <w:p>
      <w:pPr>
        <w:pStyle w:val="Heading3"/>
        <w:spacing w:line="247" w:lineRule="auto"/>
      </w:pPr>
      <w:r>
        <w:rPr>
          <w:b/>
          <w:color w:val="0C3756"/>
          <w:sz w:val="18"/>
        </w:rPr>
        <w:t>The CE Shop - Developmental Editor, Real Estate Education</w:t>
      </w:r>
      <w:r>
        <w:rPr>
          <w:b/>
          <w:color w:val="646056"/>
          <w:sz w:val="16"/>
        </w:rPr>
        <w:t xml:space="preserve">   2016-2023</w:t>
      </w:r>
    </w:p>
    <w:p>
      <w:pPr>
        <w:spacing w:after="40" w:line="247" w:lineRule="auto"/>
      </w:pPr>
      <w:r>
        <w:t>Shaped online real estate education curriculum across Pre-Licensing, Post-Licensing, and Continuing Education programs, translating complex regulatory and industry concepts into accurate, state-compliant digital learning experiences.</w:t>
      </w:r>
    </w:p>
    <w:p>
      <w:pPr>
        <w:pStyle w:val="ListBullet"/>
        <w:spacing w:line="247" w:lineRule="auto"/>
      </w:pPr>
      <w:r>
        <w:t>Developed and revised instructional materials to align with changing state license laws, regulatory standards, adult learning principles, brand consistency, and product deadlines.</w:t>
      </w:r>
    </w:p>
    <w:p>
      <w:pPr>
        <w:pStyle w:val="ListBullet"/>
        <w:spacing w:line="247" w:lineRule="auto"/>
      </w:pPr>
      <w:r>
        <w:t>Partnered with real estate SMEs, instructional designers, multimedia specialists, and product teams to improve flow, logic, pacing, compliance, and learner experience.</w:t>
      </w:r>
    </w:p>
    <w:p>
      <w:pPr>
        <w:pStyle w:val="Heading3"/>
        <w:spacing w:line="247" w:lineRule="auto"/>
      </w:pPr>
      <w:r>
        <w:rPr>
          <w:b/>
          <w:color w:val="0C3756"/>
          <w:sz w:val="18"/>
        </w:rPr>
        <w:t>Earlier Experience - Developmental Editor; Newspaper Reporter; Front-of-House Restaurant Manager</w:t>
      </w:r>
      <w:r>
        <w:rPr>
          <w:b/>
          <w:color w:val="646056"/>
          <w:sz w:val="16"/>
        </w:rPr>
        <w:t xml:space="preserve">   Earlier career</w:t>
      </w:r>
    </w:p>
    <w:p>
      <w:pPr>
        <w:pStyle w:val="ListBullet"/>
        <w:spacing w:line="247" w:lineRule="auto"/>
      </w:pPr>
      <w:r>
        <w:t>Edited nonfiction books, proposals, and long-form manuscripts across business, memoir, and narrative nonfiction; strengthened structure, argumentation, clarity, and voice.</w:t>
      </w:r>
    </w:p>
    <w:p>
      <w:pPr>
        <w:pStyle w:val="ListBullet"/>
        <w:spacing w:line="247" w:lineRule="auto"/>
      </w:pPr>
      <w:r>
        <w:t>Reported for regional newspapers including Herald and News, The Bulletin, Daily Journal of Commerce, and The Mercury, covering government, education, business, courts, public safety, and community issues.</w:t>
      </w:r>
    </w:p>
    <w:p>
      <w:pPr>
        <w:pStyle w:val="ListBullet"/>
        <w:spacing w:line="247" w:lineRule="auto"/>
      </w:pPr>
      <w:r>
        <w:t>Built expertise in public records, interviewing, deadline judgment, source development, and practical operations leadership.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EDUCATION, SPEAKING &amp; TOOLS</w:t>
      </w:r>
    </w:p>
    <w:p>
      <w:pPr>
        <w:spacing w:after="32" w:line="247" w:lineRule="auto"/>
      </w:pPr>
      <w:r>
        <w:rPr>
          <w:b/>
          <w:color w:val="0C3756"/>
        </w:rPr>
        <w:t xml:space="preserve">Education: </w:t>
      </w:r>
      <w:r>
        <w:t>University of Oregon, B.A. English Literature; B.S. Magazine Journalism, 2009</w:t>
      </w:r>
    </w:p>
    <w:p>
      <w:pPr>
        <w:spacing w:after="32" w:line="247" w:lineRule="auto"/>
      </w:pPr>
      <w:r>
        <w:rPr>
          <w:b/>
          <w:color w:val="0C3756"/>
        </w:rPr>
        <w:t xml:space="preserve">Speaking: </w:t>
      </w:r>
      <w:r>
        <w:t>NCRC Annual Conference; YIMBYtown Portland; Shelterforce webinars; Housing After Dark; industry podcasts; public author talks</w:t>
      </w:r>
    </w:p>
    <w:p>
      <w:pPr>
        <w:spacing w:after="32" w:line="247" w:lineRule="auto"/>
      </w:pPr>
      <w:r>
        <w:rPr>
          <w:b/>
          <w:color w:val="0C3756"/>
        </w:rPr>
        <w:t xml:space="preserve">Content, Web &amp; Publishing: </w:t>
      </w:r>
      <w:r>
        <w:t>Contentful; WordPress; Netlify; Zoomforth; interactive proposal systems; HTML/CSS; Figma; Canva; publishing QA</w:t>
      </w:r>
    </w:p>
    <w:p>
      <w:pPr>
        <w:spacing w:after="32" w:line="247" w:lineRule="auto"/>
      </w:pPr>
      <w:r>
        <w:rPr>
          <w:b/>
          <w:color w:val="0C3756"/>
        </w:rPr>
        <w:t xml:space="preserve">Search, Analytics &amp; Measurement: </w:t>
      </w:r>
      <w:r>
        <w:t>Semrush Enterprise; Google Analytics 4; GA4 Explorations; Google Search Console; Power BI; KPI baselines; content audits; search roadmaps</w:t>
      </w:r>
    </w:p>
    <w:p>
      <w:pPr>
        <w:spacing w:after="32" w:line="247" w:lineRule="auto"/>
      </w:pPr>
      <w:r>
        <w:rPr>
          <w:rFonts w:ascii="Arial" w:hAnsi="Arial" w:eastAsia="Arial"/>
          <w:b/>
          <w:color w:val="0C3756"/>
        </w:rPr>
        <w:t xml:space="preserve">Research, AI &amp; Knowledge Tools: </w:t>
      </w:r>
      <w:r>
        <w:rPr>
          <w:rFonts w:ascii="Arial" w:hAnsi="Arial" w:eastAsia="Arial"/>
          <w:b w:val="0"/>
          <w:color w:val="18242E"/>
        </w:rPr>
        <w:t>Glean; ChatGPT; Claude; Perplexity; Microsoft Copilot; Gemini; NotebookLM; prompt libraries; source checks; briefing; optimization; QA workflows</w:t>
      </w:r>
    </w:p>
    <w:p>
      <w:pPr>
        <w:spacing w:after="32" w:line="247" w:lineRule="auto"/>
      </w:pPr>
      <w:r>
        <w:rPr>
          <w:b/>
          <w:color w:val="0C3756"/>
        </w:rPr>
        <w:t xml:space="preserve">Operations &amp; Collaboration: </w:t>
      </w:r>
      <w:r>
        <w:t>Asana; Notion; Microsoft 365; SharePoint; Teams; PowerPoint; Excel; Google Workspace; editorial calendars; governance; contributor workflows; review systems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SELECTED WORK EXAMPLES</w:t>
      </w:r>
    </w:p>
    <w:p>
      <w:pPr>
        <w:pStyle w:val="ListBullet"/>
        <w:spacing w:line="247" w:lineRule="auto"/>
      </w:pPr>
      <w:r>
        <w:t>Government stock bid proposal system: shaped story, structure, proof points, and sales handoff for a reusable proposal experience for public-sector payments buyers.</w:t>
      </w:r>
    </w:p>
    <w:p>
      <w:pPr>
        <w:pStyle w:val="ListBullet"/>
        <w:spacing w:line="247" w:lineRule="auto"/>
      </w:pPr>
      <w:r>
        <w:t>Healthcare payments content: created provider-facing payment workflow and sales enablement materials focused on cash flow, reconciliation, payment visibility, and reduced manual work.</w:t>
      </w:r>
    </w:p>
    <w:p>
      <w:pPr>
        <w:pStyle w:val="ListBullet"/>
        <w:spacing w:line="247" w:lineRule="auto"/>
      </w:pPr>
      <w:r>
        <w:t>Website redesign and Contentful migration: supported solution-page architecture, message development, content migration, and publishing QA for a full public website relaunch.</w:t>
      </w:r>
    </w:p>
    <w:p>
      <w:pPr>
        <w:pStyle w:val="ListBullet"/>
        <w:spacing w:line="247" w:lineRule="auto"/>
      </w:pPr>
      <w:r>
        <w:t>Affordable housing business-model investigation: built a national reporting platform around preservation, financing, operating stress, public subsidy, and institutional incentives.</w:t>
      </w:r>
    </w:p>
    <w:p>
      <w:pPr>
        <w:pStyle w:val="Heading2"/>
        <w:pBdr>
          <w:bottom w:val="single" w:sz="6" w:space="1" w:color="D8CBBB"/>
        </w:pBdr>
        <w:spacing w:line="247" w:lineRule="auto"/>
      </w:pPr>
      <w:r>
        <w:rPr>
          <w:b/>
          <w:color w:val="0C3756"/>
          <w:sz w:val="18"/>
        </w:rPr>
        <w:t>SELECTED EDITORIAL RANGE</w:t>
      </w:r>
    </w:p>
    <w:p>
      <w:pPr>
        <w:spacing w:after="32" w:line="247" w:lineRule="auto"/>
      </w:pPr>
      <w:r>
        <w:rPr>
          <w:b/>
          <w:color w:val="0C3756"/>
        </w:rPr>
        <w:t xml:space="preserve">Housing finance and policy: </w:t>
      </w:r>
      <w:r>
        <w:t>preservation, operating stress, lending, public subsidy, institutional incentives, resident impacts, and public policy.</w:t>
      </w:r>
    </w:p>
    <w:p>
      <w:pPr>
        <w:spacing w:after="32" w:line="247" w:lineRule="auto"/>
      </w:pPr>
      <w:r>
        <w:rPr>
          <w:b/>
          <w:color w:val="0C3756"/>
        </w:rPr>
        <w:t xml:space="preserve">Complex B2B payments: </w:t>
      </w:r>
      <w:r>
        <w:t>product and solution messaging, buyer education, customer proof, sales enablement, SEO/AEO/GEO, and executive communications.</w:t>
      </w:r>
    </w:p>
    <w:p>
      <w:pPr>
        <w:spacing w:after="32" w:line="247" w:lineRule="auto"/>
      </w:pPr>
      <w:r>
        <w:rPr>
          <w:rFonts w:ascii="Arial" w:hAnsi="Arial" w:eastAsia="Arial"/>
          <w:b/>
          <w:color w:val="0C3756"/>
        </w:rPr>
        <w:t xml:space="preserve">Editorial systems: </w:t>
      </w:r>
      <w:r>
        <w:rPr>
          <w:rFonts w:ascii="Arial" w:hAnsi="Arial" w:eastAsia="Arial"/>
          <w:b w:val="0"/>
          <w:color w:val="18242E"/>
        </w:rPr>
        <w:t>source development, standards, governance, content operations, research workflows, and cross-team review models.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 w:eastAsia="Arial"/>
      <w:color w:val="18242E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C375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C3756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C3756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4" w:line="247" w:lineRule="auto"/>
      <w:ind w:left="259" w:hanging="173"/>
      <w:contextualSpacing/>
    </w:pPr>
    <w:rPr>
      <w:rFonts w:ascii="Arial" w:hAnsi="Arial" w:eastAsia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4" w:line="247" w:lineRule="auto"/>
      <w:ind w:left="259" w:hanging="173"/>
      <w:contextualSpacing/>
    </w:pPr>
    <w:rPr>
      <w:rFonts w:ascii="Arial" w:hAnsi="Arial" w:eastAsia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Shelby R. King Resume</dc:title>
  <dc:subject>Content strategy, editorial leadership, thought leadership, customer proof, SEO/AEO/GEO, sales enablement, and editorial operations</dc:subject>
  <dc:creator>Shelby R. King</dc:creator>
  <cp:keywords>content strategy, editorial leadership, customer proof, sales enablement, SEO, AEO, GEO, B2B SaaS, payments, healthcare content, executive communications, content operations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